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2-28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-0501/202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0005-01-2026-000137-29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февраля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Style w:val="cat-UserDefinedgrp-20rplc-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(СНИЛС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Style w:val="cat-UserDefinedgrp-24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2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незаконно полученной </w:t>
      </w:r>
      <w:r>
        <w:rPr>
          <w:rFonts w:ascii="Times New Roman" w:eastAsia="Times New Roman" w:hAnsi="Times New Roman" w:cs="Times New Roman"/>
          <w:sz w:val="28"/>
          <w:szCs w:val="28"/>
        </w:rPr>
        <w:t>суммы страховой пенсии по случаю потери кормильца</w:t>
      </w:r>
      <w:r>
        <w:rPr>
          <w:rFonts w:ascii="Times New Roman" w:eastAsia="Times New Roman" w:hAnsi="Times New Roman" w:cs="Times New Roman"/>
          <w:sz w:val="28"/>
          <w:szCs w:val="28"/>
        </w:rPr>
        <w:t>,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01.05.2024 по 31.05.2024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12 263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двенадцать тысяч двести шестьдесят три) рубля 90 копеек (Уникальный Идентификатор Начислений 79714166516553062405)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1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Нефтеюганска ХМАО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6rplc-35">
    <w:name w:val="cat-UserDefined grp-2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